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2C960" w14:textId="77777777" w:rsidR="00CE57C9" w:rsidRDefault="00CE57C9" w:rsidP="00CE57C9">
      <w:pPr>
        <w:jc w:val="center"/>
        <w:rPr>
          <w:rFonts w:ascii="Ebrima" w:hAnsi="Ebrima" w:cstheme="majorHAnsi"/>
          <w:b/>
          <w:bCs/>
          <w:sz w:val="24"/>
        </w:rPr>
      </w:pPr>
      <w:r>
        <w:rPr>
          <w:rFonts w:ascii="Ebrima" w:hAnsi="Ebrima" w:cstheme="majorHAnsi"/>
          <w:b/>
          <w:bCs/>
          <w:sz w:val="24"/>
        </w:rPr>
        <w:t>Bourton on the Water Primary Academy</w:t>
      </w:r>
    </w:p>
    <w:p w14:paraId="6C3E24BA" w14:textId="584456EB" w:rsidR="00CE57C9" w:rsidRDefault="00CE57C9" w:rsidP="00CE57C9">
      <w:pPr>
        <w:jc w:val="center"/>
        <w:rPr>
          <w:rFonts w:ascii="Ebrima" w:hAnsi="Ebrima" w:cstheme="majorHAnsi"/>
          <w:b/>
          <w:bCs/>
          <w:sz w:val="24"/>
        </w:rPr>
      </w:pPr>
      <w:r w:rsidRPr="00CE57C9">
        <w:rPr>
          <w:rFonts w:ascii="Ebrima" w:hAnsi="Ebrima" w:cstheme="majorHAnsi"/>
          <w:b/>
          <w:bCs/>
          <w:sz w:val="24"/>
        </w:rPr>
        <w:t xml:space="preserve">Policy on processing special categories of personal data </w:t>
      </w:r>
    </w:p>
    <w:p w14:paraId="50C7568D" w14:textId="5F3D25F2" w:rsidR="00CE57C9" w:rsidRPr="00CE57C9" w:rsidRDefault="00CE57C9" w:rsidP="00CE57C9">
      <w:pPr>
        <w:jc w:val="center"/>
        <w:rPr>
          <w:rFonts w:ascii="Ebrima" w:hAnsi="Ebrima" w:cstheme="majorHAnsi"/>
          <w:b/>
          <w:bCs/>
          <w:sz w:val="24"/>
        </w:rPr>
      </w:pPr>
      <w:r>
        <w:rPr>
          <w:rFonts w:ascii="Ebrima" w:hAnsi="Ebrima" w:cstheme="majorHAnsi"/>
          <w:b/>
          <w:bCs/>
          <w:sz w:val="24"/>
        </w:rPr>
        <w:t>2024</w:t>
      </w:r>
    </w:p>
    <w:p w14:paraId="2713DEB8" w14:textId="77777777" w:rsidR="00CE57C9" w:rsidRPr="0051292C" w:rsidRDefault="00CE57C9" w:rsidP="00CE57C9">
      <w:pPr>
        <w:jc w:val="center"/>
        <w:rPr>
          <w:rFonts w:ascii="Ebrima" w:hAnsi="Ebrima" w:cstheme="majorHAnsi"/>
          <w:sz w:val="20"/>
          <w:szCs w:val="20"/>
        </w:rPr>
      </w:pPr>
    </w:p>
    <w:p w14:paraId="40540918" w14:textId="77777777" w:rsidR="00CE57C9" w:rsidRPr="0051292C" w:rsidRDefault="00CE57C9" w:rsidP="00CE57C9">
      <w:pPr>
        <w:spacing w:after="0"/>
        <w:rPr>
          <w:rFonts w:ascii="Ebrima" w:hAnsi="Ebrima" w:cstheme="majorHAnsi"/>
          <w:b/>
          <w:bCs/>
          <w:sz w:val="20"/>
          <w:szCs w:val="20"/>
        </w:rPr>
      </w:pPr>
      <w:r w:rsidRPr="0051292C">
        <w:rPr>
          <w:rFonts w:ascii="Ebrima" w:hAnsi="Ebrima" w:cstheme="majorHAnsi"/>
          <w:b/>
          <w:bCs/>
          <w:sz w:val="20"/>
          <w:szCs w:val="20"/>
        </w:rPr>
        <w:t xml:space="preserve">1. Introduction </w:t>
      </w:r>
      <w:r w:rsidRPr="0051292C">
        <w:rPr>
          <w:rFonts w:ascii="Ebrima" w:hAnsi="Ebrima"/>
          <w:sz w:val="20"/>
          <w:szCs w:val="20"/>
        </w:rPr>
        <w:t xml:space="preserve"> </w:t>
      </w:r>
    </w:p>
    <w:p w14:paraId="72EDA5CC" w14:textId="1E701124" w:rsidR="00CE57C9" w:rsidRPr="0051292C" w:rsidRDefault="00CE57C9" w:rsidP="00CE57C9">
      <w:pPr>
        <w:spacing w:after="0" w:line="259" w:lineRule="auto"/>
        <w:rPr>
          <w:rFonts w:ascii="Ebrima" w:hAnsi="Ebrima" w:cstheme="majorHAnsi"/>
          <w:sz w:val="20"/>
          <w:szCs w:val="20"/>
        </w:rPr>
      </w:pPr>
      <w:r w:rsidRPr="0051292C">
        <w:rPr>
          <w:rFonts w:ascii="Ebrima" w:hAnsi="Ebrima" w:cstheme="majorHAnsi"/>
          <w:sz w:val="20"/>
          <w:szCs w:val="20"/>
        </w:rPr>
        <w:t xml:space="preserve">This Policy is produced in accordance with </w:t>
      </w:r>
      <w:r>
        <w:rPr>
          <w:rFonts w:ascii="Ebrima" w:hAnsi="Ebrima" w:cstheme="majorHAnsi"/>
          <w:sz w:val="20"/>
          <w:szCs w:val="20"/>
        </w:rPr>
        <w:t>Bourton on the Water Primary Academy</w:t>
      </w:r>
      <w:r w:rsidRPr="0051292C">
        <w:rPr>
          <w:rFonts w:ascii="Ebrima" w:hAnsi="Ebrima" w:cstheme="majorHAnsi"/>
          <w:color w:val="FF0000"/>
          <w:sz w:val="20"/>
          <w:szCs w:val="20"/>
        </w:rPr>
        <w:t xml:space="preserve"> </w:t>
      </w:r>
      <w:r w:rsidRPr="0051292C">
        <w:rPr>
          <w:rFonts w:ascii="Ebrima" w:hAnsi="Ebrima" w:cstheme="majorHAnsi"/>
          <w:sz w:val="20"/>
          <w:szCs w:val="20"/>
        </w:rPr>
        <w:t>obligations under the EU General Data Protection Regulation (GDPR), the Data Protection Act 2018</w:t>
      </w:r>
      <w:r>
        <w:rPr>
          <w:rFonts w:ascii="Ebrima" w:hAnsi="Ebrima" w:cstheme="majorHAnsi"/>
          <w:sz w:val="20"/>
          <w:szCs w:val="20"/>
        </w:rPr>
        <w:t xml:space="preserve"> (DPA ’2018), the UK General Data Protection Regulation (UK GDPR)</w:t>
      </w:r>
      <w:r w:rsidRPr="0051292C">
        <w:rPr>
          <w:rFonts w:ascii="Ebrima" w:hAnsi="Ebrima" w:cstheme="majorHAnsi"/>
          <w:sz w:val="20"/>
          <w:szCs w:val="20"/>
        </w:rPr>
        <w:t xml:space="preserve"> and related legislation.  It should be read alongside the Group’s </w:t>
      </w:r>
      <w:r>
        <w:rPr>
          <w:rFonts w:ascii="Ebrima" w:hAnsi="Ebrima" w:cstheme="majorHAnsi"/>
          <w:sz w:val="20"/>
          <w:szCs w:val="20"/>
        </w:rPr>
        <w:t>Data Protection</w:t>
      </w:r>
      <w:r w:rsidRPr="0051292C">
        <w:rPr>
          <w:rFonts w:ascii="Ebrima" w:hAnsi="Ebrima" w:cstheme="majorHAnsi"/>
          <w:sz w:val="20"/>
          <w:szCs w:val="20"/>
        </w:rPr>
        <w:t xml:space="preserve"> Policies.  </w:t>
      </w:r>
    </w:p>
    <w:p w14:paraId="21FE7946" w14:textId="77777777" w:rsidR="00CE57C9" w:rsidRDefault="00CE57C9" w:rsidP="00CE57C9">
      <w:pPr>
        <w:spacing w:after="160" w:line="259" w:lineRule="auto"/>
        <w:rPr>
          <w:rFonts w:ascii="Ebrima" w:hAnsi="Ebrima" w:cstheme="majorHAnsi"/>
          <w:sz w:val="20"/>
          <w:szCs w:val="20"/>
        </w:rPr>
      </w:pPr>
      <w:r w:rsidRPr="0051292C">
        <w:rPr>
          <w:rFonts w:ascii="Ebrima" w:hAnsi="Ebrima" w:cstheme="majorHAnsi"/>
          <w:sz w:val="20"/>
          <w:szCs w:val="20"/>
        </w:rPr>
        <w:t xml:space="preserve">Article 9(1) of the </w:t>
      </w:r>
      <w:r>
        <w:rPr>
          <w:rFonts w:ascii="Ebrima" w:hAnsi="Ebrima" w:cstheme="majorHAnsi"/>
          <w:sz w:val="20"/>
          <w:szCs w:val="20"/>
        </w:rPr>
        <w:t>GDPR</w:t>
      </w:r>
      <w:r w:rsidRPr="0051292C">
        <w:rPr>
          <w:rFonts w:ascii="Ebrima" w:hAnsi="Ebrima" w:cstheme="majorHAnsi"/>
          <w:sz w:val="20"/>
          <w:szCs w:val="20"/>
        </w:rPr>
        <w:t xml:space="preserve"> prohibits the processing of special categories of personal data unless a condition in Article 9(2) is met.</w:t>
      </w:r>
    </w:p>
    <w:p w14:paraId="3A7F3724" w14:textId="77777777" w:rsidR="00CE57C9" w:rsidRDefault="00CE57C9" w:rsidP="00CE57C9">
      <w:pPr>
        <w:spacing w:after="0"/>
        <w:rPr>
          <w:rFonts w:ascii="Ebrima" w:hAnsi="Ebrima" w:cstheme="majorHAnsi"/>
          <w:sz w:val="20"/>
          <w:szCs w:val="20"/>
        </w:rPr>
      </w:pPr>
      <w:r>
        <w:rPr>
          <w:rFonts w:ascii="Ebrima" w:hAnsi="Ebrima" w:cstheme="majorHAnsi"/>
          <w:sz w:val="20"/>
          <w:szCs w:val="20"/>
        </w:rPr>
        <w:t>Examples of special categories of personal data include:</w:t>
      </w:r>
    </w:p>
    <w:p w14:paraId="3D732935"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sz w:val="20"/>
          <w:szCs w:val="20"/>
        </w:rPr>
        <w:t>data that reveals </w:t>
      </w:r>
      <w:r w:rsidRPr="00CE57C9">
        <w:rPr>
          <w:rFonts w:ascii="Ebrima" w:hAnsi="Ebrima" w:cstheme="majorHAnsi"/>
          <w:b/>
          <w:bCs/>
          <w:sz w:val="20"/>
          <w:szCs w:val="20"/>
        </w:rPr>
        <w:t>racial or ethnic origin</w:t>
      </w:r>
      <w:r w:rsidRPr="00CE57C9">
        <w:rPr>
          <w:rFonts w:ascii="Ebrima" w:hAnsi="Ebrima" w:cstheme="majorHAnsi"/>
          <w:sz w:val="20"/>
          <w:szCs w:val="20"/>
        </w:rPr>
        <w:t>;</w:t>
      </w:r>
    </w:p>
    <w:p w14:paraId="0600BAE3"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sz w:val="20"/>
          <w:szCs w:val="20"/>
        </w:rPr>
        <w:t>data that reveals </w:t>
      </w:r>
      <w:r w:rsidRPr="00CE57C9">
        <w:rPr>
          <w:rFonts w:ascii="Ebrima" w:hAnsi="Ebrima" w:cstheme="majorHAnsi"/>
          <w:b/>
          <w:bCs/>
          <w:sz w:val="20"/>
          <w:szCs w:val="20"/>
        </w:rPr>
        <w:t>political opinions</w:t>
      </w:r>
      <w:r w:rsidRPr="00CE57C9">
        <w:rPr>
          <w:rFonts w:ascii="Ebrima" w:hAnsi="Ebrima" w:cstheme="majorHAnsi"/>
          <w:sz w:val="20"/>
          <w:szCs w:val="20"/>
        </w:rPr>
        <w:t>;</w:t>
      </w:r>
    </w:p>
    <w:p w14:paraId="650E47C4"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sz w:val="20"/>
          <w:szCs w:val="20"/>
        </w:rPr>
        <w:t>data that reveals </w:t>
      </w:r>
      <w:r w:rsidRPr="00CE57C9">
        <w:rPr>
          <w:rFonts w:ascii="Ebrima" w:hAnsi="Ebrima" w:cstheme="majorHAnsi"/>
          <w:b/>
          <w:bCs/>
          <w:sz w:val="20"/>
          <w:szCs w:val="20"/>
        </w:rPr>
        <w:t>religious or philosophical beliefs</w:t>
      </w:r>
      <w:r w:rsidRPr="00CE57C9">
        <w:rPr>
          <w:rFonts w:ascii="Ebrima" w:hAnsi="Ebrima" w:cstheme="majorHAnsi"/>
          <w:sz w:val="20"/>
          <w:szCs w:val="20"/>
        </w:rPr>
        <w:t>;</w:t>
      </w:r>
    </w:p>
    <w:p w14:paraId="6FE417F8"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sz w:val="20"/>
          <w:szCs w:val="20"/>
        </w:rPr>
        <w:t>data that reveals </w:t>
      </w:r>
      <w:r w:rsidRPr="00CE57C9">
        <w:rPr>
          <w:rFonts w:ascii="Ebrima" w:hAnsi="Ebrima" w:cstheme="majorHAnsi"/>
          <w:b/>
          <w:bCs/>
          <w:sz w:val="20"/>
          <w:szCs w:val="20"/>
        </w:rPr>
        <w:t>trade union membership</w:t>
      </w:r>
      <w:r w:rsidRPr="00CE57C9">
        <w:rPr>
          <w:rFonts w:ascii="Ebrima" w:hAnsi="Ebrima" w:cstheme="majorHAnsi"/>
          <w:sz w:val="20"/>
          <w:szCs w:val="20"/>
        </w:rPr>
        <w:t>;</w:t>
      </w:r>
    </w:p>
    <w:p w14:paraId="1C788945"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b/>
          <w:bCs/>
          <w:sz w:val="20"/>
          <w:szCs w:val="20"/>
        </w:rPr>
        <w:t>genetic data</w:t>
      </w:r>
      <w:r w:rsidRPr="00CE57C9">
        <w:rPr>
          <w:rFonts w:ascii="Ebrima" w:hAnsi="Ebrima" w:cstheme="majorHAnsi"/>
          <w:sz w:val="20"/>
          <w:szCs w:val="20"/>
        </w:rPr>
        <w:t>;</w:t>
      </w:r>
    </w:p>
    <w:p w14:paraId="5736DF6D"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b/>
          <w:bCs/>
          <w:sz w:val="20"/>
          <w:szCs w:val="20"/>
        </w:rPr>
        <w:t>biometric data</w:t>
      </w:r>
      <w:r w:rsidRPr="00CE57C9">
        <w:rPr>
          <w:rFonts w:ascii="Ebrima" w:hAnsi="Ebrima" w:cstheme="majorHAnsi"/>
          <w:sz w:val="20"/>
          <w:szCs w:val="20"/>
        </w:rPr>
        <w:t> (where used for identification purposes);</w:t>
      </w:r>
    </w:p>
    <w:p w14:paraId="6F263DC0"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sz w:val="20"/>
          <w:szCs w:val="20"/>
        </w:rPr>
        <w:t>data concerning an individual's </w:t>
      </w:r>
      <w:r w:rsidRPr="00CE57C9">
        <w:rPr>
          <w:rFonts w:ascii="Ebrima" w:hAnsi="Ebrima" w:cstheme="majorHAnsi"/>
          <w:b/>
          <w:bCs/>
          <w:sz w:val="20"/>
          <w:szCs w:val="20"/>
        </w:rPr>
        <w:t>health</w:t>
      </w:r>
      <w:r w:rsidRPr="00CE57C9">
        <w:rPr>
          <w:rFonts w:ascii="Ebrima" w:hAnsi="Ebrima" w:cstheme="majorHAnsi"/>
          <w:sz w:val="20"/>
          <w:szCs w:val="20"/>
        </w:rPr>
        <w:t>; and</w:t>
      </w:r>
    </w:p>
    <w:p w14:paraId="291BD0D5" w14:textId="77777777" w:rsidR="00CE57C9" w:rsidRPr="00CE57C9" w:rsidRDefault="00CE57C9" w:rsidP="00CE57C9">
      <w:pPr>
        <w:pStyle w:val="ListParagraph"/>
        <w:numPr>
          <w:ilvl w:val="0"/>
          <w:numId w:val="2"/>
        </w:numPr>
        <w:spacing w:after="0"/>
        <w:rPr>
          <w:rFonts w:ascii="Ebrima" w:hAnsi="Ebrima" w:cstheme="majorHAnsi"/>
          <w:sz w:val="20"/>
          <w:szCs w:val="20"/>
        </w:rPr>
      </w:pPr>
      <w:r w:rsidRPr="00CE57C9">
        <w:rPr>
          <w:rFonts w:ascii="Ebrima" w:hAnsi="Ebrima" w:cstheme="majorHAnsi"/>
          <w:sz w:val="20"/>
          <w:szCs w:val="20"/>
        </w:rPr>
        <w:t>data concerning a person’s </w:t>
      </w:r>
      <w:r w:rsidRPr="00CE57C9">
        <w:rPr>
          <w:rFonts w:ascii="Ebrima" w:hAnsi="Ebrima" w:cstheme="majorHAnsi"/>
          <w:b/>
          <w:bCs/>
          <w:sz w:val="20"/>
          <w:szCs w:val="20"/>
        </w:rPr>
        <w:t>sex life</w:t>
      </w:r>
      <w:r w:rsidRPr="00CE57C9">
        <w:rPr>
          <w:rFonts w:ascii="Ebrima" w:hAnsi="Ebrima" w:cstheme="majorHAnsi"/>
          <w:sz w:val="20"/>
          <w:szCs w:val="20"/>
        </w:rPr>
        <w:t xml:space="preserve"> or their</w:t>
      </w:r>
      <w:r w:rsidRPr="00CE57C9">
        <w:rPr>
          <w:rFonts w:ascii="Ebrima" w:hAnsi="Ebrima" w:cstheme="majorHAnsi"/>
          <w:b/>
          <w:bCs/>
          <w:sz w:val="20"/>
          <w:szCs w:val="20"/>
        </w:rPr>
        <w:t> sexual orientation</w:t>
      </w:r>
      <w:r w:rsidRPr="00CE57C9">
        <w:rPr>
          <w:rFonts w:ascii="Ebrima" w:hAnsi="Ebrima" w:cstheme="majorHAnsi"/>
          <w:sz w:val="20"/>
          <w:szCs w:val="20"/>
        </w:rPr>
        <w:t>.</w:t>
      </w:r>
    </w:p>
    <w:p w14:paraId="2B274C61" w14:textId="77777777" w:rsidR="00CE57C9" w:rsidRPr="00FA316C" w:rsidRDefault="00CE57C9" w:rsidP="00CE57C9">
      <w:pPr>
        <w:spacing w:after="0"/>
        <w:ind w:left="780"/>
        <w:rPr>
          <w:rFonts w:ascii="Ebrima" w:hAnsi="Ebrima" w:cstheme="majorHAnsi"/>
          <w:sz w:val="20"/>
          <w:szCs w:val="20"/>
        </w:rPr>
      </w:pPr>
    </w:p>
    <w:p w14:paraId="1DA9E647" w14:textId="77777777" w:rsidR="00CE57C9" w:rsidRPr="0051292C" w:rsidRDefault="00CE57C9" w:rsidP="00CE57C9">
      <w:pPr>
        <w:spacing w:after="160" w:line="259" w:lineRule="auto"/>
        <w:rPr>
          <w:rFonts w:ascii="Ebrima" w:hAnsi="Ebrima" w:cstheme="majorHAnsi"/>
          <w:sz w:val="20"/>
          <w:szCs w:val="20"/>
        </w:rPr>
      </w:pPr>
      <w:r w:rsidRPr="0051292C">
        <w:rPr>
          <w:rFonts w:ascii="Ebrima" w:hAnsi="Ebrima" w:cstheme="majorHAnsi"/>
          <w:sz w:val="20"/>
          <w:szCs w:val="20"/>
        </w:rPr>
        <w:t xml:space="preserve">Personal data about criminal offences and convictions are dealt with in Article 10 of the </w:t>
      </w:r>
      <w:r>
        <w:rPr>
          <w:rFonts w:ascii="Ebrima" w:hAnsi="Ebrima" w:cstheme="majorHAnsi"/>
          <w:sz w:val="20"/>
          <w:szCs w:val="20"/>
        </w:rPr>
        <w:t>GDPR</w:t>
      </w:r>
      <w:r w:rsidRPr="0051292C">
        <w:rPr>
          <w:rFonts w:ascii="Ebrima" w:hAnsi="Ebrima" w:cstheme="majorHAnsi"/>
          <w:sz w:val="20"/>
          <w:szCs w:val="20"/>
        </w:rPr>
        <w:t xml:space="preserve">.  The </w:t>
      </w:r>
      <w:r>
        <w:rPr>
          <w:rFonts w:ascii="Ebrima" w:hAnsi="Ebrima" w:cstheme="majorHAnsi"/>
          <w:sz w:val="20"/>
          <w:szCs w:val="20"/>
        </w:rPr>
        <w:t>DPA ‘2018</w:t>
      </w:r>
      <w:r w:rsidRPr="0051292C">
        <w:rPr>
          <w:rFonts w:ascii="Ebrima" w:hAnsi="Ebrima" w:cstheme="majorHAnsi"/>
          <w:sz w:val="20"/>
          <w:szCs w:val="20"/>
        </w:rPr>
        <w:t xml:space="preserve"> states that the processing of such data meets the requirements of Article 10 only if it meets a condition set out in Parts 1, 2, or 3 of Schedule 1, which requires the controller to have an appropriate policy in place when processing is carried out.</w:t>
      </w:r>
    </w:p>
    <w:p w14:paraId="19F3FEBF" w14:textId="034ABBD9" w:rsidR="00CE57C9" w:rsidRPr="0051292C" w:rsidRDefault="00CE57C9" w:rsidP="00CE57C9">
      <w:pPr>
        <w:spacing w:after="160" w:line="259" w:lineRule="auto"/>
        <w:rPr>
          <w:rFonts w:ascii="Ebrima" w:hAnsi="Ebrima" w:cstheme="majorHAnsi"/>
          <w:sz w:val="20"/>
          <w:szCs w:val="20"/>
        </w:rPr>
      </w:pPr>
      <w:r w:rsidRPr="0051292C">
        <w:rPr>
          <w:rFonts w:ascii="Ebrima" w:hAnsi="Ebrima" w:cstheme="majorHAnsi"/>
          <w:sz w:val="20"/>
          <w:szCs w:val="20"/>
        </w:rPr>
        <w:t>Processing of special categories of personal data is therefore only permitted by</w:t>
      </w:r>
      <w:r>
        <w:rPr>
          <w:rFonts w:ascii="Ebrima" w:hAnsi="Ebrima" w:cstheme="majorHAnsi"/>
          <w:sz w:val="20"/>
          <w:szCs w:val="20"/>
        </w:rPr>
        <w:t xml:space="preserve"> the Academy</w:t>
      </w:r>
      <w:r w:rsidRPr="0051292C">
        <w:rPr>
          <w:rFonts w:ascii="Ebrima" w:hAnsi="Ebrima" w:cstheme="majorHAnsi"/>
          <w:sz w:val="20"/>
          <w:szCs w:val="20"/>
        </w:rPr>
        <w:t>, where it is necessary for specific purposes</w:t>
      </w:r>
      <w:r>
        <w:rPr>
          <w:rFonts w:ascii="Ebrima" w:hAnsi="Ebrima" w:cstheme="majorHAnsi"/>
          <w:sz w:val="20"/>
          <w:szCs w:val="20"/>
        </w:rPr>
        <w:t xml:space="preserve">. The table below details the special categories of personal data that </w:t>
      </w:r>
      <w:r>
        <w:rPr>
          <w:rFonts w:ascii="Ebrima" w:hAnsi="Ebrima" w:cstheme="majorHAnsi"/>
          <w:sz w:val="20"/>
          <w:szCs w:val="20"/>
        </w:rPr>
        <w:t>Bourton Primary Academy</w:t>
      </w:r>
      <w:r>
        <w:rPr>
          <w:rFonts w:ascii="Ebrima" w:hAnsi="Ebrima" w:cstheme="majorHAnsi"/>
          <w:sz w:val="20"/>
          <w:szCs w:val="20"/>
        </w:rPr>
        <w:t xml:space="preserve"> processes, and the legal bases relied upon</w:t>
      </w:r>
      <w:r w:rsidRPr="0051292C">
        <w:rPr>
          <w:rFonts w:ascii="Ebrima" w:hAnsi="Ebrima" w:cstheme="majorHAnsi"/>
          <w:sz w:val="20"/>
          <w:szCs w:val="20"/>
        </w:rPr>
        <w:t>:</w:t>
      </w:r>
    </w:p>
    <w:p w14:paraId="4080ADC5" w14:textId="77777777" w:rsidR="00CE57C9" w:rsidRPr="0051292C" w:rsidRDefault="00CE57C9" w:rsidP="00CE57C9">
      <w:pPr>
        <w:spacing w:after="160" w:line="259" w:lineRule="auto"/>
        <w:rPr>
          <w:rFonts w:ascii="Ebrima" w:hAnsi="Ebrima" w:cstheme="majorHAnsi"/>
          <w:b/>
          <w:sz w:val="20"/>
          <w:szCs w:val="20"/>
        </w:rPr>
      </w:pPr>
      <w:r w:rsidRPr="0051292C">
        <w:rPr>
          <w:rFonts w:ascii="Ebrima" w:hAnsi="Ebrima" w:cstheme="majorHAnsi"/>
          <w:b/>
          <w:sz w:val="20"/>
          <w:szCs w:val="20"/>
        </w:rPr>
        <w:t>Employee Data</w:t>
      </w:r>
    </w:p>
    <w:tbl>
      <w:tblPr>
        <w:tblStyle w:val="TableGrid"/>
        <w:tblW w:w="0" w:type="auto"/>
        <w:tblInd w:w="-5" w:type="dxa"/>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Look w:val="04A0" w:firstRow="1" w:lastRow="0" w:firstColumn="1" w:lastColumn="0" w:noHBand="0" w:noVBand="1"/>
      </w:tblPr>
      <w:tblGrid>
        <w:gridCol w:w="3298"/>
        <w:gridCol w:w="3068"/>
        <w:gridCol w:w="2655"/>
      </w:tblGrid>
      <w:tr w:rsidR="00CE57C9" w:rsidRPr="0051292C" w14:paraId="023CBE27" w14:textId="77777777" w:rsidTr="00CE57C9">
        <w:tc>
          <w:tcPr>
            <w:tcW w:w="3298" w:type="dxa"/>
            <w:shd w:val="clear" w:color="auto" w:fill="D9D9D9" w:themeFill="background1" w:themeFillShade="D9"/>
          </w:tcPr>
          <w:p w14:paraId="239723E1" w14:textId="77777777" w:rsidR="00CE57C9" w:rsidRPr="0051292C" w:rsidRDefault="00CE57C9" w:rsidP="00765F17">
            <w:pPr>
              <w:pStyle w:val="ListParagraph"/>
              <w:spacing w:after="160" w:line="259" w:lineRule="auto"/>
              <w:ind w:left="0"/>
              <w:rPr>
                <w:rFonts w:ascii="Ebrima" w:hAnsi="Ebrima" w:cstheme="majorHAnsi"/>
                <w:b/>
                <w:sz w:val="20"/>
                <w:szCs w:val="20"/>
              </w:rPr>
            </w:pPr>
            <w:bookmarkStart w:id="0" w:name="_Hlk36016372"/>
            <w:r w:rsidRPr="0051292C">
              <w:rPr>
                <w:rFonts w:ascii="Ebrima" w:hAnsi="Ebrima" w:cstheme="majorHAnsi"/>
                <w:b/>
                <w:sz w:val="20"/>
                <w:szCs w:val="20"/>
              </w:rPr>
              <w:t>What we use it for:</w:t>
            </w:r>
          </w:p>
        </w:tc>
        <w:tc>
          <w:tcPr>
            <w:tcW w:w="3068" w:type="dxa"/>
            <w:shd w:val="clear" w:color="auto" w:fill="D9D9D9" w:themeFill="background1" w:themeFillShade="D9"/>
          </w:tcPr>
          <w:p w14:paraId="784822E3" w14:textId="77777777" w:rsidR="00CE57C9" w:rsidRPr="0051292C" w:rsidRDefault="00CE57C9" w:rsidP="00765F17">
            <w:pPr>
              <w:pStyle w:val="ListParagraph"/>
              <w:spacing w:after="160" w:line="259" w:lineRule="auto"/>
              <w:ind w:left="0"/>
              <w:rPr>
                <w:rFonts w:ascii="Ebrima" w:hAnsi="Ebrima" w:cstheme="majorHAnsi"/>
                <w:b/>
                <w:sz w:val="20"/>
                <w:szCs w:val="20"/>
              </w:rPr>
            </w:pPr>
            <w:r w:rsidRPr="0051292C">
              <w:rPr>
                <w:rFonts w:ascii="Ebrima" w:hAnsi="Ebrima" w:cstheme="majorHAnsi"/>
                <w:b/>
                <w:sz w:val="20"/>
                <w:szCs w:val="20"/>
              </w:rPr>
              <w:t>Our legal reason: Art 9</w:t>
            </w:r>
          </w:p>
        </w:tc>
        <w:tc>
          <w:tcPr>
            <w:tcW w:w="2655" w:type="dxa"/>
            <w:shd w:val="clear" w:color="auto" w:fill="D9D9D9" w:themeFill="background1" w:themeFillShade="D9"/>
          </w:tcPr>
          <w:p w14:paraId="026F487E" w14:textId="77777777" w:rsidR="00CE57C9" w:rsidRPr="0051292C" w:rsidRDefault="00CE57C9" w:rsidP="00765F17">
            <w:pPr>
              <w:pStyle w:val="ListParagraph"/>
              <w:spacing w:after="160" w:line="259" w:lineRule="auto"/>
              <w:ind w:left="0"/>
              <w:rPr>
                <w:rFonts w:ascii="Ebrima" w:hAnsi="Ebrima" w:cstheme="majorHAnsi"/>
                <w:b/>
                <w:sz w:val="20"/>
                <w:szCs w:val="20"/>
              </w:rPr>
            </w:pPr>
            <w:r w:rsidRPr="0051292C">
              <w:rPr>
                <w:rFonts w:ascii="Ebrima" w:hAnsi="Ebrima" w:cstheme="majorHAnsi"/>
                <w:b/>
                <w:sz w:val="20"/>
                <w:szCs w:val="20"/>
              </w:rPr>
              <w:t>Our legal reason: Art 6</w:t>
            </w:r>
          </w:p>
        </w:tc>
      </w:tr>
      <w:tr w:rsidR="00CE57C9" w:rsidRPr="0051292C" w14:paraId="332B73F5" w14:textId="77777777" w:rsidTr="00CE57C9">
        <w:tc>
          <w:tcPr>
            <w:tcW w:w="3298" w:type="dxa"/>
          </w:tcPr>
          <w:p w14:paraId="6F57905F"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 xml:space="preserve">Equal opportunities monitoring </w:t>
            </w:r>
          </w:p>
        </w:tc>
        <w:tc>
          <w:tcPr>
            <w:tcW w:w="3068" w:type="dxa"/>
          </w:tcPr>
          <w:p w14:paraId="0D4A71D0"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Legal Obligations (Employment and social security and social protection law) GDPR Article 9(2)(b)</w:t>
            </w:r>
          </w:p>
        </w:tc>
        <w:tc>
          <w:tcPr>
            <w:tcW w:w="2655" w:type="dxa"/>
          </w:tcPr>
          <w:p w14:paraId="7BFCFAB9"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 xml:space="preserve">Compliance with a Legal Obligation to which the Controller is subject GDPR Article 6(1)(c) </w:t>
            </w:r>
          </w:p>
        </w:tc>
      </w:tr>
      <w:bookmarkEnd w:id="0"/>
      <w:tr w:rsidR="00CE57C9" w:rsidRPr="0051292C" w14:paraId="5189AC54" w14:textId="77777777" w:rsidTr="00CE57C9">
        <w:tc>
          <w:tcPr>
            <w:tcW w:w="3298" w:type="dxa"/>
          </w:tcPr>
          <w:p w14:paraId="250C5572"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Occupational pension scheme</w:t>
            </w:r>
          </w:p>
        </w:tc>
        <w:tc>
          <w:tcPr>
            <w:tcW w:w="3068" w:type="dxa"/>
          </w:tcPr>
          <w:p w14:paraId="6536CF47"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Legal Obligations (Employment and social security and social protection law) GDPR Article 9(2)(b)</w:t>
            </w:r>
          </w:p>
        </w:tc>
        <w:tc>
          <w:tcPr>
            <w:tcW w:w="2655" w:type="dxa"/>
          </w:tcPr>
          <w:p w14:paraId="02BAC0F8"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Compliance with a Legal Obligation to which the Controller is subject GDPR Article 6(1)(c)</w:t>
            </w:r>
          </w:p>
        </w:tc>
      </w:tr>
      <w:tr w:rsidR="00CE57C9" w:rsidRPr="0051292C" w14:paraId="138A6906" w14:textId="77777777" w:rsidTr="00CE57C9">
        <w:tc>
          <w:tcPr>
            <w:tcW w:w="3298" w:type="dxa"/>
          </w:tcPr>
          <w:p w14:paraId="29A5023D"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Assess working capacity on health grounds</w:t>
            </w:r>
          </w:p>
        </w:tc>
        <w:tc>
          <w:tcPr>
            <w:tcW w:w="3068" w:type="dxa"/>
          </w:tcPr>
          <w:p w14:paraId="3A53A1F9"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 xml:space="preserve">Legal Obligations (Employment and social security and social </w:t>
            </w:r>
            <w:r w:rsidRPr="0051292C">
              <w:rPr>
                <w:rFonts w:ascii="Ebrima" w:hAnsi="Ebrima" w:cstheme="majorHAnsi"/>
                <w:sz w:val="20"/>
                <w:szCs w:val="20"/>
              </w:rPr>
              <w:lastRenderedPageBreak/>
              <w:t>protection law) GDPR Article 9(2)(b)</w:t>
            </w:r>
          </w:p>
        </w:tc>
        <w:tc>
          <w:tcPr>
            <w:tcW w:w="2655" w:type="dxa"/>
          </w:tcPr>
          <w:p w14:paraId="35798FB2"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lastRenderedPageBreak/>
              <w:t xml:space="preserve">Compliance with a Legal Obligation to which the </w:t>
            </w:r>
            <w:r w:rsidRPr="0051292C">
              <w:rPr>
                <w:rFonts w:ascii="Ebrima" w:hAnsi="Ebrima" w:cstheme="majorHAnsi"/>
                <w:sz w:val="20"/>
                <w:szCs w:val="20"/>
              </w:rPr>
              <w:lastRenderedPageBreak/>
              <w:t>Controller is subject GDPR Article 6(1)(c)</w:t>
            </w:r>
          </w:p>
        </w:tc>
      </w:tr>
      <w:tr w:rsidR="00CE57C9" w:rsidRPr="0051292C" w14:paraId="21AB52D6" w14:textId="77777777" w:rsidTr="00CE57C9">
        <w:tc>
          <w:tcPr>
            <w:tcW w:w="3298" w:type="dxa"/>
          </w:tcPr>
          <w:p w14:paraId="3FEBB7FD"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lastRenderedPageBreak/>
              <w:t xml:space="preserve">Keeping record of outcome from the Disclosure and Barring Service (DBS) checks for </w:t>
            </w:r>
            <w:r>
              <w:rPr>
                <w:rFonts w:ascii="Ebrima" w:hAnsi="Ebrima" w:cstheme="majorHAnsi"/>
                <w:sz w:val="20"/>
                <w:szCs w:val="20"/>
              </w:rPr>
              <w:t>staff</w:t>
            </w:r>
          </w:p>
        </w:tc>
        <w:tc>
          <w:tcPr>
            <w:tcW w:w="3068" w:type="dxa"/>
          </w:tcPr>
          <w:p w14:paraId="50FE3036"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Legal Obligations (Employment and social security and social protection law) GDPR Article 9(2)(b)</w:t>
            </w:r>
          </w:p>
        </w:tc>
        <w:tc>
          <w:tcPr>
            <w:tcW w:w="2655" w:type="dxa"/>
          </w:tcPr>
          <w:p w14:paraId="428C7683"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Compliance with a Legal Obligation to which the Controller is subject GDPR Article 6(1)(c)</w:t>
            </w:r>
          </w:p>
        </w:tc>
      </w:tr>
      <w:tr w:rsidR="00CE57C9" w:rsidRPr="0051292C" w14:paraId="7BA98B07" w14:textId="77777777" w:rsidTr="00CE57C9">
        <w:tc>
          <w:tcPr>
            <w:tcW w:w="3298" w:type="dxa"/>
          </w:tcPr>
          <w:p w14:paraId="4495AE03"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Where access is required to medical records in connection with sickness and absence investigations etc.</w:t>
            </w:r>
          </w:p>
        </w:tc>
        <w:tc>
          <w:tcPr>
            <w:tcW w:w="3068" w:type="dxa"/>
          </w:tcPr>
          <w:p w14:paraId="3D4193DD"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Explicit Consent given GDPR Article 9(2)(a)</w:t>
            </w:r>
          </w:p>
        </w:tc>
        <w:tc>
          <w:tcPr>
            <w:tcW w:w="2655" w:type="dxa"/>
          </w:tcPr>
          <w:p w14:paraId="17D258E8" w14:textId="77777777" w:rsidR="00CE57C9" w:rsidRPr="0051292C" w:rsidRDefault="00CE57C9" w:rsidP="00765F17">
            <w:pPr>
              <w:pStyle w:val="ListParagraph"/>
              <w:spacing w:after="160" w:line="259" w:lineRule="auto"/>
              <w:ind w:left="0"/>
              <w:rPr>
                <w:rFonts w:ascii="Ebrima" w:hAnsi="Ebrima" w:cstheme="majorHAnsi"/>
                <w:sz w:val="20"/>
                <w:szCs w:val="20"/>
              </w:rPr>
            </w:pPr>
            <w:r w:rsidRPr="0051292C">
              <w:rPr>
                <w:rFonts w:ascii="Ebrima" w:hAnsi="Ebrima" w:cstheme="majorHAnsi"/>
                <w:sz w:val="20"/>
                <w:szCs w:val="20"/>
              </w:rPr>
              <w:t>Necessary for the performance of a contract to which the data subject is party or in order to take steps at the request of the data subject prior to entering into a contract GDPR Article 6(1)(b)</w:t>
            </w:r>
          </w:p>
        </w:tc>
      </w:tr>
    </w:tbl>
    <w:p w14:paraId="772C65B2" w14:textId="77777777" w:rsidR="00CE57C9" w:rsidRDefault="00CE57C9" w:rsidP="00CE57C9">
      <w:pPr>
        <w:spacing w:after="160" w:line="259" w:lineRule="auto"/>
        <w:rPr>
          <w:rFonts w:ascii="Ebrima" w:hAnsi="Ebrima" w:cstheme="majorHAnsi"/>
          <w:b/>
          <w:sz w:val="20"/>
          <w:szCs w:val="20"/>
        </w:rPr>
      </w:pPr>
      <w:r w:rsidRPr="0051292C">
        <w:rPr>
          <w:rFonts w:ascii="Ebrima" w:hAnsi="Ebrima" w:cstheme="majorHAnsi"/>
          <w:b/>
          <w:sz w:val="20"/>
          <w:szCs w:val="20"/>
        </w:rPr>
        <w:br/>
      </w:r>
      <w:r>
        <w:rPr>
          <w:rFonts w:ascii="Ebrima" w:hAnsi="Ebrima" w:cstheme="majorHAnsi"/>
          <w:b/>
          <w:sz w:val="20"/>
          <w:szCs w:val="20"/>
        </w:rPr>
        <w:t>Pupil</w:t>
      </w:r>
      <w:r w:rsidRPr="0051292C">
        <w:rPr>
          <w:rFonts w:ascii="Ebrima" w:hAnsi="Ebrima" w:cstheme="majorHAnsi"/>
          <w:b/>
          <w:sz w:val="20"/>
          <w:szCs w:val="20"/>
        </w:rPr>
        <w:t xml:space="preserve"> Data</w:t>
      </w:r>
    </w:p>
    <w:tbl>
      <w:tblPr>
        <w:tblStyle w:val="TableGrid"/>
        <w:tblW w:w="0" w:type="auto"/>
        <w:tblInd w:w="-5" w:type="dxa"/>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Look w:val="04A0" w:firstRow="1" w:lastRow="0" w:firstColumn="1" w:lastColumn="0" w:noHBand="0" w:noVBand="1"/>
      </w:tblPr>
      <w:tblGrid>
        <w:gridCol w:w="3206"/>
        <w:gridCol w:w="2986"/>
        <w:gridCol w:w="2591"/>
      </w:tblGrid>
      <w:tr w:rsidR="00CE57C9" w:rsidRPr="0051292C" w14:paraId="0CC6FCE0" w14:textId="77777777" w:rsidTr="00765F17">
        <w:tc>
          <w:tcPr>
            <w:tcW w:w="3206" w:type="dxa"/>
            <w:shd w:val="clear" w:color="auto" w:fill="D9D9D9" w:themeFill="background1" w:themeFillShade="D9"/>
          </w:tcPr>
          <w:p w14:paraId="7D464CEE" w14:textId="77777777" w:rsidR="00CE57C9" w:rsidRPr="0051292C" w:rsidRDefault="00CE57C9" w:rsidP="00765F17">
            <w:pPr>
              <w:pStyle w:val="ListParagraph"/>
              <w:spacing w:after="160" w:line="259" w:lineRule="auto"/>
              <w:ind w:left="0"/>
              <w:rPr>
                <w:rFonts w:ascii="Ebrima" w:hAnsi="Ebrima" w:cstheme="majorHAnsi"/>
                <w:b/>
                <w:sz w:val="20"/>
                <w:szCs w:val="20"/>
              </w:rPr>
            </w:pPr>
            <w:r w:rsidRPr="0051292C">
              <w:rPr>
                <w:rFonts w:ascii="Ebrima" w:hAnsi="Ebrima" w:cstheme="majorHAnsi"/>
                <w:b/>
                <w:sz w:val="20"/>
                <w:szCs w:val="20"/>
              </w:rPr>
              <w:t>What we use it for:</w:t>
            </w:r>
          </w:p>
        </w:tc>
        <w:tc>
          <w:tcPr>
            <w:tcW w:w="2986" w:type="dxa"/>
            <w:shd w:val="clear" w:color="auto" w:fill="D9D9D9" w:themeFill="background1" w:themeFillShade="D9"/>
          </w:tcPr>
          <w:p w14:paraId="0D023CA0" w14:textId="77777777" w:rsidR="00CE57C9" w:rsidRPr="0051292C" w:rsidRDefault="00CE57C9" w:rsidP="00765F17">
            <w:pPr>
              <w:pStyle w:val="ListParagraph"/>
              <w:spacing w:after="160" w:line="259" w:lineRule="auto"/>
              <w:ind w:left="0"/>
              <w:rPr>
                <w:rFonts w:ascii="Ebrima" w:hAnsi="Ebrima" w:cstheme="majorHAnsi"/>
                <w:b/>
                <w:sz w:val="20"/>
                <w:szCs w:val="20"/>
              </w:rPr>
            </w:pPr>
            <w:r w:rsidRPr="0051292C">
              <w:rPr>
                <w:rFonts w:ascii="Ebrima" w:hAnsi="Ebrima" w:cstheme="majorHAnsi"/>
                <w:b/>
                <w:sz w:val="20"/>
                <w:szCs w:val="20"/>
              </w:rPr>
              <w:t>Our legal reason: Art 9</w:t>
            </w:r>
          </w:p>
        </w:tc>
        <w:tc>
          <w:tcPr>
            <w:tcW w:w="2591" w:type="dxa"/>
            <w:shd w:val="clear" w:color="auto" w:fill="D9D9D9" w:themeFill="background1" w:themeFillShade="D9"/>
          </w:tcPr>
          <w:p w14:paraId="29DC8AD6" w14:textId="77777777" w:rsidR="00CE57C9" w:rsidRPr="0051292C" w:rsidRDefault="00CE57C9" w:rsidP="00765F17">
            <w:pPr>
              <w:pStyle w:val="ListParagraph"/>
              <w:spacing w:after="160" w:line="259" w:lineRule="auto"/>
              <w:ind w:left="0"/>
              <w:rPr>
                <w:rFonts w:ascii="Ebrima" w:hAnsi="Ebrima" w:cstheme="majorHAnsi"/>
                <w:b/>
                <w:sz w:val="20"/>
                <w:szCs w:val="20"/>
              </w:rPr>
            </w:pPr>
            <w:r w:rsidRPr="0051292C">
              <w:rPr>
                <w:rFonts w:ascii="Ebrima" w:hAnsi="Ebrima" w:cstheme="majorHAnsi"/>
                <w:b/>
                <w:sz w:val="20"/>
                <w:szCs w:val="20"/>
              </w:rPr>
              <w:t>Our legal reason: Art 6</w:t>
            </w:r>
          </w:p>
        </w:tc>
      </w:tr>
      <w:tr w:rsidR="00CE57C9" w:rsidRPr="0051292C" w14:paraId="5451BD0E" w14:textId="77777777" w:rsidTr="00765F17">
        <w:tc>
          <w:tcPr>
            <w:tcW w:w="3206" w:type="dxa"/>
          </w:tcPr>
          <w:p w14:paraId="48DFDBA4" w14:textId="77777777" w:rsidR="00CE57C9" w:rsidRPr="0051292C" w:rsidRDefault="00CE57C9" w:rsidP="00765F17">
            <w:pPr>
              <w:pStyle w:val="ListParagraph"/>
              <w:spacing w:after="160" w:line="259" w:lineRule="auto"/>
              <w:ind w:left="0"/>
              <w:rPr>
                <w:rFonts w:ascii="Ebrima" w:hAnsi="Ebrima" w:cstheme="majorHAnsi"/>
                <w:sz w:val="20"/>
                <w:szCs w:val="20"/>
              </w:rPr>
            </w:pPr>
            <w:r>
              <w:rPr>
                <w:rFonts w:ascii="Ebrima" w:hAnsi="Ebrima" w:cstheme="majorHAnsi"/>
                <w:sz w:val="20"/>
                <w:szCs w:val="20"/>
              </w:rPr>
              <w:t>Pupil medical data</w:t>
            </w:r>
            <w:r w:rsidRPr="0051292C">
              <w:rPr>
                <w:rFonts w:ascii="Ebrima" w:hAnsi="Ebrima" w:cstheme="majorHAnsi"/>
                <w:sz w:val="20"/>
                <w:szCs w:val="20"/>
              </w:rPr>
              <w:t xml:space="preserve"> </w:t>
            </w:r>
          </w:p>
        </w:tc>
        <w:tc>
          <w:tcPr>
            <w:tcW w:w="2986" w:type="dxa"/>
          </w:tcPr>
          <w:p w14:paraId="4EF9FA3E" w14:textId="77777777" w:rsidR="00CE57C9" w:rsidRPr="0051292C" w:rsidRDefault="00CE57C9" w:rsidP="00765F17">
            <w:pPr>
              <w:pStyle w:val="ListParagraph"/>
              <w:spacing w:after="160" w:line="259" w:lineRule="auto"/>
              <w:ind w:left="0"/>
              <w:rPr>
                <w:rFonts w:ascii="Ebrima" w:hAnsi="Ebrima" w:cstheme="majorHAnsi"/>
                <w:sz w:val="20"/>
                <w:szCs w:val="20"/>
              </w:rPr>
            </w:pPr>
            <w:r>
              <w:rPr>
                <w:rFonts w:ascii="Ebrima" w:hAnsi="Ebrima" w:cstheme="majorHAnsi"/>
                <w:sz w:val="20"/>
                <w:szCs w:val="20"/>
              </w:rPr>
              <w:t>Reasons of substantial public interest</w:t>
            </w:r>
            <w:r w:rsidRPr="0051292C">
              <w:rPr>
                <w:rFonts w:ascii="Ebrima" w:hAnsi="Ebrima" w:cstheme="majorHAnsi"/>
                <w:sz w:val="20"/>
                <w:szCs w:val="20"/>
              </w:rPr>
              <w:t xml:space="preserve"> 9(2)(</w:t>
            </w:r>
            <w:r>
              <w:rPr>
                <w:rFonts w:ascii="Ebrima" w:hAnsi="Ebrima" w:cstheme="majorHAnsi"/>
                <w:sz w:val="20"/>
                <w:szCs w:val="20"/>
              </w:rPr>
              <w:t>g</w:t>
            </w:r>
            <w:r w:rsidRPr="0051292C">
              <w:rPr>
                <w:rFonts w:ascii="Ebrima" w:hAnsi="Ebrima" w:cstheme="majorHAnsi"/>
                <w:sz w:val="20"/>
                <w:szCs w:val="20"/>
              </w:rPr>
              <w:t>)</w:t>
            </w:r>
            <w:r>
              <w:rPr>
                <w:rFonts w:ascii="Ebrima" w:hAnsi="Ebrima" w:cstheme="majorHAnsi"/>
                <w:sz w:val="20"/>
                <w:szCs w:val="20"/>
              </w:rPr>
              <w:t xml:space="preserve"> for the condition of </w:t>
            </w:r>
            <w:r w:rsidRPr="00325C36">
              <w:rPr>
                <w:rFonts w:ascii="Ebrima" w:eastAsia="Times New Roman" w:hAnsi="Ebrima"/>
                <w:color w:val="000000"/>
                <w:sz w:val="20"/>
                <w:szCs w:val="20"/>
              </w:rPr>
              <w:t>6. Statutory and government purposes</w:t>
            </w:r>
            <w:r>
              <w:rPr>
                <w:rFonts w:ascii="Ebrima" w:eastAsia="Times New Roman" w:hAnsi="Ebrima"/>
                <w:color w:val="000000"/>
                <w:sz w:val="20"/>
                <w:szCs w:val="20"/>
              </w:rPr>
              <w:t xml:space="preserve"> </w:t>
            </w:r>
            <w:r w:rsidRPr="00325C36">
              <w:rPr>
                <w:rFonts w:ascii="Ebrima" w:eastAsia="Times New Roman" w:hAnsi="Ebrima"/>
                <w:color w:val="000000"/>
                <w:sz w:val="20"/>
                <w:szCs w:val="20"/>
              </w:rPr>
              <w:t>OR 16. Support for individuals with a particular disability or medical condition</w:t>
            </w:r>
          </w:p>
        </w:tc>
        <w:tc>
          <w:tcPr>
            <w:tcW w:w="2591" w:type="dxa"/>
          </w:tcPr>
          <w:p w14:paraId="67020A4B" w14:textId="77777777" w:rsidR="00CE57C9" w:rsidRPr="0051292C" w:rsidRDefault="00CE57C9" w:rsidP="00765F17">
            <w:pPr>
              <w:pStyle w:val="ListParagraph"/>
              <w:spacing w:after="160" w:line="259" w:lineRule="auto"/>
              <w:ind w:left="0"/>
              <w:rPr>
                <w:rFonts w:ascii="Ebrima" w:hAnsi="Ebrima" w:cstheme="majorHAnsi"/>
                <w:sz w:val="20"/>
                <w:szCs w:val="20"/>
              </w:rPr>
            </w:pPr>
            <w:r>
              <w:rPr>
                <w:rFonts w:ascii="Ebrima" w:hAnsi="Ebrima" w:cstheme="majorHAnsi"/>
                <w:sz w:val="20"/>
                <w:szCs w:val="20"/>
              </w:rPr>
              <w:t>Performance of a task in the public interest</w:t>
            </w:r>
            <w:r w:rsidRPr="0051292C">
              <w:rPr>
                <w:rFonts w:ascii="Ebrima" w:hAnsi="Ebrima" w:cstheme="majorHAnsi"/>
                <w:sz w:val="20"/>
                <w:szCs w:val="20"/>
              </w:rPr>
              <w:t xml:space="preserve"> Article 6(1)(</w:t>
            </w:r>
            <w:r>
              <w:rPr>
                <w:rFonts w:ascii="Ebrima" w:hAnsi="Ebrima" w:cstheme="majorHAnsi"/>
                <w:sz w:val="20"/>
                <w:szCs w:val="20"/>
              </w:rPr>
              <w:t>e</w:t>
            </w:r>
            <w:r w:rsidRPr="0051292C">
              <w:rPr>
                <w:rFonts w:ascii="Ebrima" w:hAnsi="Ebrima" w:cstheme="majorHAnsi"/>
                <w:sz w:val="20"/>
                <w:szCs w:val="20"/>
              </w:rPr>
              <w:t xml:space="preserve">) </w:t>
            </w:r>
          </w:p>
        </w:tc>
      </w:tr>
    </w:tbl>
    <w:p w14:paraId="67CAC9A0" w14:textId="789A4779" w:rsidR="00CE57C9" w:rsidRPr="00B567EC" w:rsidRDefault="00CE57C9" w:rsidP="00CE57C9">
      <w:pPr>
        <w:rPr>
          <w:rFonts w:ascii="Ebrima" w:hAnsi="Ebrima" w:cstheme="majorHAnsi"/>
          <w:sz w:val="20"/>
          <w:szCs w:val="20"/>
        </w:rPr>
      </w:pPr>
      <w:r>
        <w:rPr>
          <w:rFonts w:ascii="Ebrima" w:hAnsi="Ebrima" w:cstheme="majorHAnsi"/>
          <w:sz w:val="20"/>
          <w:szCs w:val="20"/>
        </w:rPr>
        <w:tab/>
      </w:r>
      <w:r w:rsidRPr="00B567EC">
        <w:rPr>
          <w:rFonts w:ascii="Ebrima" w:hAnsi="Ebrima" w:cstheme="majorHAnsi"/>
          <w:sz w:val="20"/>
          <w:szCs w:val="20"/>
        </w:rPr>
        <w:tab/>
      </w:r>
      <w:r w:rsidRPr="00B567EC">
        <w:rPr>
          <w:rFonts w:ascii="Ebrima" w:hAnsi="Ebrima" w:cstheme="majorHAnsi"/>
          <w:sz w:val="20"/>
          <w:szCs w:val="20"/>
        </w:rPr>
        <w:tab/>
      </w:r>
    </w:p>
    <w:p w14:paraId="69A5FC54" w14:textId="77777777" w:rsidR="00CE57C9" w:rsidRDefault="00CE57C9" w:rsidP="00CE57C9">
      <w:pPr>
        <w:rPr>
          <w:rFonts w:ascii="Ebrima" w:hAnsi="Ebrima" w:cstheme="majorHAnsi"/>
          <w:b/>
          <w:bCs/>
          <w:sz w:val="20"/>
          <w:szCs w:val="20"/>
        </w:rPr>
      </w:pPr>
      <w:r w:rsidRPr="0051292C">
        <w:rPr>
          <w:rFonts w:ascii="Ebrima" w:hAnsi="Ebrima" w:cstheme="majorHAnsi"/>
          <w:b/>
          <w:bCs/>
          <w:sz w:val="20"/>
          <w:szCs w:val="20"/>
        </w:rPr>
        <w:t>2. Purpose of the policy</w:t>
      </w:r>
    </w:p>
    <w:p w14:paraId="1FCE105D" w14:textId="620F8536" w:rsidR="00CE57C9" w:rsidRDefault="00CE57C9" w:rsidP="00CE57C9">
      <w:pPr>
        <w:rPr>
          <w:rFonts w:ascii="Ebrima" w:hAnsi="Ebrima" w:cstheme="majorHAnsi"/>
          <w:sz w:val="20"/>
          <w:szCs w:val="20"/>
        </w:rPr>
      </w:pPr>
      <w:r w:rsidRPr="0051292C">
        <w:rPr>
          <w:rFonts w:ascii="Ebrima" w:hAnsi="Ebrima" w:cstheme="majorHAnsi"/>
          <w:sz w:val="20"/>
          <w:szCs w:val="20"/>
        </w:rPr>
        <w:br/>
        <w:t>This policy is the policy mentioned in Section 39 of Part 4 of Schedule 1 of the</w:t>
      </w:r>
      <w:r>
        <w:rPr>
          <w:rFonts w:ascii="Ebrima" w:hAnsi="Ebrima" w:cstheme="majorHAnsi"/>
          <w:sz w:val="20"/>
          <w:szCs w:val="20"/>
        </w:rPr>
        <w:t xml:space="preserve"> DPA ‘2018</w:t>
      </w:r>
      <w:r w:rsidRPr="0051292C">
        <w:rPr>
          <w:rFonts w:ascii="Ebrima" w:hAnsi="Ebrima" w:cstheme="majorHAnsi"/>
          <w:sz w:val="20"/>
          <w:szCs w:val="20"/>
        </w:rPr>
        <w:t>. It explains the</w:t>
      </w:r>
      <w:r>
        <w:rPr>
          <w:rFonts w:ascii="Ebrima" w:hAnsi="Ebrima" w:cstheme="majorHAnsi"/>
          <w:sz w:val="20"/>
          <w:szCs w:val="20"/>
        </w:rPr>
        <w:t xml:space="preserve"> Academy</w:t>
      </w:r>
      <w:r w:rsidRPr="0051292C">
        <w:rPr>
          <w:rFonts w:ascii="Ebrima" w:hAnsi="Ebrima" w:cstheme="majorHAnsi"/>
          <w:sz w:val="20"/>
          <w:szCs w:val="20"/>
        </w:rPr>
        <w:t xml:space="preserve">’s procedures to </w:t>
      </w:r>
      <w:r>
        <w:rPr>
          <w:rFonts w:ascii="Ebrima" w:hAnsi="Ebrima" w:cstheme="majorHAnsi"/>
          <w:sz w:val="20"/>
          <w:szCs w:val="20"/>
        </w:rPr>
        <w:t>comply</w:t>
      </w:r>
      <w:r w:rsidRPr="0051292C">
        <w:rPr>
          <w:rFonts w:ascii="Ebrima" w:hAnsi="Ebrima" w:cstheme="majorHAnsi"/>
          <w:sz w:val="20"/>
          <w:szCs w:val="20"/>
        </w:rPr>
        <w:t xml:space="preserve"> with the </w:t>
      </w:r>
      <w:r>
        <w:rPr>
          <w:rFonts w:ascii="Ebrima" w:hAnsi="Ebrima" w:cstheme="majorHAnsi"/>
          <w:sz w:val="20"/>
          <w:szCs w:val="20"/>
        </w:rPr>
        <w:t>GDPR</w:t>
      </w:r>
      <w:r w:rsidRPr="0051292C">
        <w:rPr>
          <w:rFonts w:ascii="Ebrima" w:hAnsi="Ebrima" w:cstheme="majorHAnsi"/>
          <w:sz w:val="20"/>
          <w:szCs w:val="20"/>
        </w:rPr>
        <w:t xml:space="preserve"> data protection principles when processing special categories of personal data and criminal convictions in accordance with legal obligations under the Employment and Social Security and Social Protection Law. [GDPR Article 9(2)(b)]</w:t>
      </w:r>
    </w:p>
    <w:p w14:paraId="3F567E33" w14:textId="77777777" w:rsidR="00CE57C9" w:rsidRDefault="00CE57C9" w:rsidP="00CE57C9">
      <w:pPr>
        <w:rPr>
          <w:rFonts w:ascii="Ebrima" w:hAnsi="Ebrima" w:cstheme="majorHAnsi"/>
          <w:b/>
          <w:bCs/>
          <w:sz w:val="20"/>
          <w:szCs w:val="20"/>
        </w:rPr>
      </w:pPr>
    </w:p>
    <w:p w14:paraId="15F2E785" w14:textId="77777777" w:rsidR="00CE57C9" w:rsidRPr="0051292C" w:rsidRDefault="00CE57C9" w:rsidP="00CE57C9">
      <w:pPr>
        <w:spacing w:after="160" w:line="259" w:lineRule="auto"/>
        <w:rPr>
          <w:rFonts w:ascii="Ebrima" w:hAnsi="Ebrima" w:cstheme="majorHAnsi"/>
          <w:b/>
          <w:bCs/>
          <w:sz w:val="20"/>
          <w:szCs w:val="20"/>
        </w:rPr>
      </w:pPr>
      <w:r w:rsidRPr="0051292C">
        <w:rPr>
          <w:rFonts w:ascii="Ebrima" w:hAnsi="Ebrima" w:cstheme="majorHAnsi"/>
          <w:b/>
          <w:bCs/>
          <w:sz w:val="20"/>
          <w:szCs w:val="20"/>
        </w:rPr>
        <w:t>3. Compliance with six data protection principles</w:t>
      </w:r>
    </w:p>
    <w:p w14:paraId="22A89197" w14:textId="77777777" w:rsidR="00CE57C9" w:rsidRPr="0051292C" w:rsidRDefault="00CE57C9" w:rsidP="00CE57C9">
      <w:pPr>
        <w:spacing w:after="160" w:line="259" w:lineRule="auto"/>
        <w:rPr>
          <w:rFonts w:ascii="Ebrima" w:hAnsi="Ebrima" w:cstheme="majorHAnsi"/>
          <w:b/>
          <w:bCs/>
          <w:sz w:val="20"/>
          <w:szCs w:val="20"/>
        </w:rPr>
      </w:pPr>
      <w:r w:rsidRPr="0051292C">
        <w:rPr>
          <w:rFonts w:ascii="Ebrima" w:hAnsi="Ebrima" w:cstheme="majorHAnsi"/>
          <w:b/>
          <w:bCs/>
          <w:sz w:val="20"/>
          <w:szCs w:val="20"/>
        </w:rPr>
        <w:t xml:space="preserve">Accountability Principle </w:t>
      </w:r>
    </w:p>
    <w:p w14:paraId="37E61124" w14:textId="4C4E4E2C" w:rsidR="00CE57C9" w:rsidRDefault="00CE57C9" w:rsidP="00CE57C9">
      <w:pPr>
        <w:spacing w:after="160" w:line="259" w:lineRule="auto"/>
        <w:rPr>
          <w:rFonts w:ascii="Ebrima" w:hAnsi="Ebrima" w:cstheme="majorHAnsi"/>
          <w:sz w:val="20"/>
          <w:szCs w:val="20"/>
        </w:rPr>
      </w:pPr>
      <w:r w:rsidRPr="0051292C">
        <w:rPr>
          <w:rFonts w:ascii="Ebrima" w:hAnsi="Ebrima" w:cstheme="majorHAnsi"/>
          <w:sz w:val="20"/>
          <w:szCs w:val="20"/>
        </w:rPr>
        <w:t>All our processing activities are recorded in a Record of Processing Activities (</w:t>
      </w:r>
      <w:proofErr w:type="spellStart"/>
      <w:r w:rsidRPr="0051292C">
        <w:rPr>
          <w:rFonts w:ascii="Ebrima" w:hAnsi="Ebrima" w:cstheme="majorHAnsi"/>
          <w:sz w:val="20"/>
          <w:szCs w:val="20"/>
        </w:rPr>
        <w:t>RoPA</w:t>
      </w:r>
      <w:proofErr w:type="spellEnd"/>
      <w:r w:rsidRPr="0051292C">
        <w:rPr>
          <w:rFonts w:ascii="Ebrima" w:hAnsi="Ebrima" w:cstheme="majorHAnsi"/>
          <w:sz w:val="20"/>
          <w:szCs w:val="20"/>
        </w:rPr>
        <w:t xml:space="preserve">) in line with Article 30 of the GDPR as well as having Privacy Notices and Data Protection Policies in place. The </w:t>
      </w:r>
      <w:proofErr w:type="spellStart"/>
      <w:r w:rsidRPr="0051292C">
        <w:rPr>
          <w:rFonts w:ascii="Ebrima" w:hAnsi="Ebrima" w:cstheme="majorHAnsi"/>
          <w:sz w:val="20"/>
          <w:szCs w:val="20"/>
        </w:rPr>
        <w:t>RoPA</w:t>
      </w:r>
      <w:proofErr w:type="spellEnd"/>
      <w:r w:rsidRPr="0051292C">
        <w:rPr>
          <w:rFonts w:ascii="Ebrima" w:hAnsi="Ebrima" w:cstheme="majorHAnsi"/>
          <w:sz w:val="20"/>
          <w:szCs w:val="20"/>
        </w:rPr>
        <w:t xml:space="preserve"> identifies the Article 6 and Article 9 processing conditions and whether the data is retained and erased in line with the Retention Schedule. If the data is not retained or deleted in line with these policies, then a record is kept </w:t>
      </w:r>
      <w:r>
        <w:rPr>
          <w:rFonts w:ascii="Ebrima" w:hAnsi="Ebrima" w:cstheme="majorHAnsi"/>
          <w:sz w:val="20"/>
          <w:szCs w:val="20"/>
        </w:rPr>
        <w:t xml:space="preserve">indicating </w:t>
      </w:r>
      <w:r w:rsidRPr="0051292C">
        <w:rPr>
          <w:rFonts w:ascii="Ebrima" w:hAnsi="Ebrima" w:cstheme="majorHAnsi"/>
          <w:sz w:val="20"/>
          <w:szCs w:val="20"/>
        </w:rPr>
        <w:t xml:space="preserve">why this is so. These documents are updated regularly and maintained </w:t>
      </w:r>
      <w:r>
        <w:rPr>
          <w:rFonts w:ascii="Ebrima" w:hAnsi="Ebrima" w:cstheme="majorHAnsi"/>
          <w:sz w:val="20"/>
          <w:szCs w:val="20"/>
        </w:rPr>
        <w:t>w</w:t>
      </w:r>
      <w:r w:rsidRPr="0051292C">
        <w:rPr>
          <w:rFonts w:ascii="Ebrima" w:hAnsi="Ebrima" w:cstheme="majorHAnsi"/>
          <w:sz w:val="20"/>
          <w:szCs w:val="20"/>
        </w:rPr>
        <w:t xml:space="preserve">here there is a high risk to individuals’ interests, Data Protection Impact Assessments </w:t>
      </w:r>
      <w:r>
        <w:rPr>
          <w:rFonts w:ascii="Ebrima" w:hAnsi="Ebrima" w:cstheme="majorHAnsi"/>
          <w:sz w:val="20"/>
          <w:szCs w:val="20"/>
        </w:rPr>
        <w:t>are</w:t>
      </w:r>
      <w:r w:rsidRPr="0051292C">
        <w:rPr>
          <w:rFonts w:ascii="Ebrima" w:hAnsi="Ebrima" w:cstheme="majorHAnsi"/>
          <w:sz w:val="20"/>
          <w:szCs w:val="20"/>
        </w:rPr>
        <w:t xml:space="preserve"> </w:t>
      </w:r>
      <w:r>
        <w:rPr>
          <w:rFonts w:ascii="Ebrima" w:hAnsi="Ebrima" w:cstheme="majorHAnsi"/>
          <w:sz w:val="20"/>
          <w:szCs w:val="20"/>
        </w:rPr>
        <w:t>performed</w:t>
      </w:r>
      <w:r w:rsidRPr="0051292C">
        <w:rPr>
          <w:rFonts w:ascii="Ebrima" w:hAnsi="Ebrima" w:cstheme="majorHAnsi"/>
          <w:sz w:val="20"/>
          <w:szCs w:val="20"/>
        </w:rPr>
        <w:t xml:space="preserve">. </w:t>
      </w:r>
    </w:p>
    <w:p w14:paraId="7319BB62" w14:textId="77777777" w:rsidR="00CE57C9" w:rsidRPr="0051292C" w:rsidRDefault="00CE57C9" w:rsidP="00CE57C9">
      <w:pPr>
        <w:spacing w:after="160" w:line="259" w:lineRule="auto"/>
        <w:rPr>
          <w:rFonts w:ascii="Ebrima" w:hAnsi="Ebrima" w:cstheme="majorHAnsi"/>
          <w:sz w:val="20"/>
          <w:szCs w:val="20"/>
        </w:rPr>
      </w:pPr>
    </w:p>
    <w:p w14:paraId="102C7044" w14:textId="77777777" w:rsidR="00CE57C9" w:rsidRPr="0051292C" w:rsidRDefault="00CE57C9" w:rsidP="00CE57C9">
      <w:pPr>
        <w:rPr>
          <w:rFonts w:ascii="Ebrima" w:hAnsi="Ebrima" w:cstheme="majorHAnsi"/>
          <w:b/>
          <w:bCs/>
          <w:sz w:val="20"/>
          <w:szCs w:val="20"/>
        </w:rPr>
      </w:pPr>
      <w:r w:rsidRPr="0051292C">
        <w:rPr>
          <w:rFonts w:ascii="Ebrima" w:hAnsi="Ebrima" w:cstheme="majorHAnsi"/>
          <w:b/>
          <w:bCs/>
          <w:sz w:val="20"/>
          <w:szCs w:val="20"/>
        </w:rPr>
        <w:lastRenderedPageBreak/>
        <w:t xml:space="preserve">3.1. Lawful, Fair and Transparent </w:t>
      </w:r>
    </w:p>
    <w:p w14:paraId="13DBA08C" w14:textId="09A3CEAD" w:rsidR="00CE57C9" w:rsidRPr="00CE57C9" w:rsidRDefault="00CE57C9" w:rsidP="00CE57C9">
      <w:pPr>
        <w:pStyle w:val="ListParagraph"/>
        <w:spacing w:after="160" w:line="259" w:lineRule="auto"/>
        <w:ind w:left="0"/>
        <w:rPr>
          <w:rFonts w:ascii="Ebrima" w:hAnsi="Ebrima" w:cstheme="majorHAnsi"/>
          <w:sz w:val="20"/>
          <w:szCs w:val="20"/>
        </w:rPr>
      </w:pP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aims to fully comply with the UK GDPR, DPA ‘2018, EU GDPR   and related legislation.</w:t>
      </w:r>
    </w:p>
    <w:p w14:paraId="6BAAC50B" w14:textId="77777777" w:rsidR="00CE57C9" w:rsidRPr="00CE57C9" w:rsidRDefault="00CE57C9" w:rsidP="00CE57C9">
      <w:pPr>
        <w:pStyle w:val="ListParagraph"/>
        <w:spacing w:after="160" w:line="259" w:lineRule="auto"/>
        <w:ind w:left="0"/>
        <w:rPr>
          <w:rFonts w:ascii="Ebrima" w:hAnsi="Ebrima" w:cstheme="majorHAnsi"/>
          <w:sz w:val="20"/>
          <w:szCs w:val="20"/>
        </w:rPr>
      </w:pPr>
    </w:p>
    <w:p w14:paraId="11561AF4" w14:textId="1158A54A" w:rsidR="00CE57C9" w:rsidRPr="00CE57C9" w:rsidRDefault="00CE57C9" w:rsidP="00CE57C9">
      <w:pPr>
        <w:pStyle w:val="ListParagraph"/>
        <w:spacing w:after="160" w:line="259" w:lineRule="auto"/>
        <w:ind w:left="0"/>
        <w:rPr>
          <w:rFonts w:ascii="Ebrima" w:hAnsi="Ebrima" w:cstheme="majorHAnsi"/>
          <w:sz w:val="20"/>
          <w:szCs w:val="20"/>
        </w:rPr>
      </w:pPr>
      <w:r w:rsidRPr="00CE57C9">
        <w:rPr>
          <w:rFonts w:ascii="Ebrima" w:hAnsi="Ebrima" w:cstheme="majorHAnsi"/>
          <w:sz w:val="20"/>
          <w:szCs w:val="20"/>
        </w:rPr>
        <w:t xml:space="preserve">There is detailed information about how </w:t>
      </w:r>
      <w:r w:rsidRPr="00CE57C9">
        <w:rPr>
          <w:rFonts w:ascii="Ebrima" w:hAnsi="Ebrima" w:cstheme="majorHAnsi"/>
          <w:sz w:val="20"/>
          <w:szCs w:val="20"/>
        </w:rPr>
        <w:t>Bourton on the Water Primary Academy</w:t>
      </w:r>
      <w:r w:rsidRPr="00CE57C9">
        <w:rPr>
          <w:rFonts w:ascii="Ebrima" w:hAnsi="Ebrima" w:cstheme="majorHAnsi"/>
          <w:sz w:val="20"/>
          <w:szCs w:val="20"/>
        </w:rPr>
        <w:t xml:space="preserve">’s personal data, including special category data is published in </w:t>
      </w:r>
      <w:r w:rsidRPr="00CE57C9">
        <w:rPr>
          <w:rFonts w:ascii="Ebrima" w:hAnsi="Ebrima" w:cstheme="majorHAnsi"/>
          <w:sz w:val="20"/>
          <w:szCs w:val="20"/>
        </w:rPr>
        <w:t>Bourton on the Water Primary Academy</w:t>
      </w:r>
      <w:r w:rsidRPr="00CE57C9">
        <w:rPr>
          <w:rFonts w:ascii="Ebrima" w:hAnsi="Ebrima" w:cstheme="majorHAnsi"/>
          <w:sz w:val="20"/>
          <w:szCs w:val="20"/>
        </w:rPr>
        <w:t>’s Privacy Policies for staff and students.  We have identified a lawful basis for processing Under Article 6 and a further basis under Article 9.</w:t>
      </w:r>
    </w:p>
    <w:p w14:paraId="2F54C21B" w14:textId="77777777" w:rsidR="00CE57C9" w:rsidRPr="00CE57C9" w:rsidRDefault="00CE57C9" w:rsidP="00CE57C9">
      <w:pPr>
        <w:rPr>
          <w:rFonts w:ascii="Ebrima" w:hAnsi="Ebrima" w:cstheme="majorHAnsi"/>
          <w:b/>
          <w:bCs/>
          <w:sz w:val="20"/>
          <w:szCs w:val="20"/>
        </w:rPr>
      </w:pPr>
      <w:r w:rsidRPr="00CE57C9">
        <w:rPr>
          <w:rFonts w:ascii="Ebrima" w:hAnsi="Ebrima" w:cstheme="majorHAnsi"/>
          <w:b/>
          <w:bCs/>
          <w:sz w:val="20"/>
          <w:szCs w:val="20"/>
        </w:rPr>
        <w:t>3.2. Collected for specified, explicit and legitimate purposes</w:t>
      </w:r>
    </w:p>
    <w:p w14:paraId="61A759E0" w14:textId="24903C55" w:rsidR="00CE57C9" w:rsidRPr="00CE57C9" w:rsidRDefault="00CE57C9" w:rsidP="00CE57C9">
      <w:pPr>
        <w:pStyle w:val="ListParagraph"/>
        <w:spacing w:after="160" w:line="259" w:lineRule="auto"/>
        <w:ind w:left="0"/>
        <w:rPr>
          <w:rFonts w:ascii="Ebrima" w:hAnsi="Ebrima" w:cstheme="majorHAnsi"/>
          <w:sz w:val="20"/>
          <w:szCs w:val="20"/>
        </w:rPr>
      </w:pP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only processes personal data when permitted to do so by law.  Special category personal data and criminal conviction is collected for explicit and legitimate purposes and these have been clearly identified. If the data collected were to be used for a new purpose, (which wasn’t a legal obligation, a function set out in law or where necessary the performance of task carried out in the public interest), we would check that this was compatible with our original purpose or would get specific consent for the new purpose.  </w:t>
      </w:r>
    </w:p>
    <w:p w14:paraId="6C2FDEEF" w14:textId="77777777" w:rsidR="00CE57C9" w:rsidRPr="00CE57C9" w:rsidRDefault="00CE57C9" w:rsidP="00CE57C9">
      <w:pPr>
        <w:rPr>
          <w:rFonts w:ascii="Ebrima" w:hAnsi="Ebrima" w:cstheme="majorHAnsi"/>
          <w:b/>
          <w:bCs/>
          <w:sz w:val="20"/>
          <w:szCs w:val="20"/>
        </w:rPr>
      </w:pPr>
      <w:r w:rsidRPr="00CE57C9">
        <w:rPr>
          <w:rFonts w:ascii="Ebrima" w:hAnsi="Ebrima" w:cstheme="majorHAnsi"/>
          <w:b/>
          <w:bCs/>
          <w:sz w:val="20"/>
          <w:szCs w:val="20"/>
        </w:rPr>
        <w:t>3.3. Adequate, relevant and limited to what is necessary</w:t>
      </w:r>
    </w:p>
    <w:p w14:paraId="03885AA2" w14:textId="0DABB1CC" w:rsidR="00CE57C9" w:rsidRPr="00CE57C9" w:rsidRDefault="00CE57C9" w:rsidP="00CE57C9">
      <w:pPr>
        <w:pStyle w:val="ListParagraph"/>
        <w:spacing w:after="160" w:line="259" w:lineRule="auto"/>
        <w:ind w:left="0"/>
        <w:rPr>
          <w:rFonts w:ascii="Ebrima" w:hAnsi="Ebrima" w:cstheme="majorHAnsi"/>
          <w:sz w:val="20"/>
          <w:szCs w:val="20"/>
        </w:rPr>
      </w:pP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will not ask for special category personal data that is not potentially required, or necessary for </w:t>
      </w: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to deliver its services.  </w:t>
      </w:r>
      <w:r w:rsidRPr="00CE57C9">
        <w:rPr>
          <w:rFonts w:ascii="Ebrima" w:hAnsi="Ebrima" w:cstheme="majorHAnsi"/>
          <w:sz w:val="20"/>
          <w:szCs w:val="20"/>
        </w:rPr>
        <w:t>Bourton on the Water Primary Academy</w:t>
      </w:r>
      <w:r w:rsidRPr="00CE57C9">
        <w:rPr>
          <w:rFonts w:ascii="Ebrima" w:hAnsi="Ebrima" w:cstheme="majorHAnsi"/>
          <w:sz w:val="20"/>
          <w:szCs w:val="20"/>
        </w:rPr>
        <w:t>’s internal guidance, training and policies require staff to use only the minimum amount of data required to enable specific tasks to be completed. The need to retain this data will be regularly reviewed, and any data no longer needed will be deleted.</w:t>
      </w:r>
    </w:p>
    <w:p w14:paraId="2109AA3B" w14:textId="77777777" w:rsidR="00CE57C9" w:rsidRPr="00CE57C9" w:rsidRDefault="00CE57C9" w:rsidP="00CE57C9">
      <w:pPr>
        <w:rPr>
          <w:rFonts w:ascii="Ebrima" w:hAnsi="Ebrima" w:cstheme="majorHAnsi"/>
          <w:b/>
          <w:bCs/>
          <w:sz w:val="20"/>
          <w:szCs w:val="20"/>
        </w:rPr>
      </w:pPr>
      <w:r w:rsidRPr="00CE57C9">
        <w:rPr>
          <w:rFonts w:ascii="Ebrima" w:hAnsi="Ebrima" w:cstheme="majorHAnsi"/>
          <w:b/>
          <w:bCs/>
          <w:sz w:val="20"/>
          <w:szCs w:val="20"/>
        </w:rPr>
        <w:t xml:space="preserve">3.4. Accurate and kept up to date  </w:t>
      </w:r>
    </w:p>
    <w:p w14:paraId="0AD467D0" w14:textId="75C1D190" w:rsidR="00CE57C9" w:rsidRPr="00CE57C9" w:rsidRDefault="00CE57C9" w:rsidP="00CE57C9">
      <w:pPr>
        <w:pStyle w:val="ListParagraph"/>
        <w:spacing w:after="160" w:line="259" w:lineRule="auto"/>
        <w:ind w:left="0"/>
        <w:rPr>
          <w:rFonts w:ascii="Ebrima" w:hAnsi="Ebrima" w:cstheme="majorHAnsi"/>
          <w:sz w:val="20"/>
          <w:szCs w:val="20"/>
        </w:rPr>
      </w:pPr>
      <w:r w:rsidRPr="00CE57C9">
        <w:rPr>
          <w:rFonts w:ascii="Ebrima" w:hAnsi="Ebrima" w:cstheme="majorHAnsi"/>
          <w:sz w:val="20"/>
          <w:szCs w:val="20"/>
        </w:rPr>
        <w:t xml:space="preserve">Processing complete and accurate information is important to us.  Data Subjects are required to notify </w:t>
      </w: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of relevant changes to their circumstances, such as changes in their health or an alteration to their criminal record data. The source of the data is recorded when it is collected. There are proportionate processes in place to ensure the data collected is accurate and updated where </w:t>
      </w:r>
      <w:proofErr w:type="gramStart"/>
      <w:r w:rsidRPr="00CE57C9">
        <w:rPr>
          <w:rFonts w:ascii="Ebrima" w:hAnsi="Ebrima" w:cstheme="majorHAnsi"/>
          <w:sz w:val="20"/>
          <w:szCs w:val="20"/>
        </w:rPr>
        <w:t>necessary..</w:t>
      </w:r>
      <w:proofErr w:type="gramEnd"/>
      <w:r w:rsidRPr="00CE57C9">
        <w:rPr>
          <w:rFonts w:ascii="Ebrima" w:hAnsi="Ebrima" w:cstheme="majorHAnsi"/>
          <w:sz w:val="20"/>
          <w:szCs w:val="20"/>
        </w:rPr>
        <w:t xml:space="preserve"> </w:t>
      </w:r>
    </w:p>
    <w:p w14:paraId="119F49E4" w14:textId="77777777" w:rsidR="00CE57C9" w:rsidRPr="00CE57C9" w:rsidRDefault="00CE57C9" w:rsidP="00CE57C9">
      <w:pPr>
        <w:rPr>
          <w:rFonts w:ascii="Ebrima" w:hAnsi="Ebrima" w:cstheme="majorHAnsi"/>
          <w:b/>
          <w:bCs/>
          <w:sz w:val="20"/>
          <w:szCs w:val="20"/>
        </w:rPr>
      </w:pPr>
      <w:r w:rsidRPr="00CE57C9">
        <w:rPr>
          <w:rFonts w:ascii="Ebrima" w:hAnsi="Ebrima" w:cstheme="majorHAnsi"/>
          <w:b/>
          <w:bCs/>
          <w:sz w:val="20"/>
          <w:szCs w:val="20"/>
        </w:rPr>
        <w:t xml:space="preserve">3.5. Kept for no longer than is necessary  </w:t>
      </w:r>
    </w:p>
    <w:p w14:paraId="26E27391" w14:textId="0119C866" w:rsidR="00CE57C9" w:rsidRPr="00CE57C9" w:rsidRDefault="00CE57C9" w:rsidP="00CE57C9">
      <w:pPr>
        <w:pStyle w:val="ListParagraph"/>
        <w:spacing w:after="160" w:line="259" w:lineRule="auto"/>
        <w:ind w:left="0"/>
        <w:rPr>
          <w:rFonts w:ascii="Ebrima" w:hAnsi="Ebrima" w:cstheme="majorHAnsi"/>
          <w:sz w:val="20"/>
          <w:szCs w:val="20"/>
        </w:rPr>
      </w:pP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will retain information relevant to the work of </w:t>
      </w: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in accordance with legislation and the retention schedule for all records kept for scientific or historical research or statistical purposes, some documents will be archived and/ or anonymised for a period of time before disposal in line with the Retention Schedule.</w:t>
      </w:r>
    </w:p>
    <w:p w14:paraId="58783CF1" w14:textId="77777777" w:rsidR="00CE57C9" w:rsidRPr="00CE57C9" w:rsidRDefault="00CE57C9" w:rsidP="00CE57C9">
      <w:pPr>
        <w:rPr>
          <w:rFonts w:ascii="Ebrima" w:hAnsi="Ebrima" w:cstheme="majorHAnsi"/>
          <w:b/>
          <w:bCs/>
          <w:sz w:val="20"/>
          <w:szCs w:val="20"/>
        </w:rPr>
      </w:pPr>
      <w:r w:rsidRPr="00CE57C9">
        <w:rPr>
          <w:rFonts w:ascii="Ebrima" w:hAnsi="Ebrima" w:cstheme="majorHAnsi"/>
          <w:b/>
          <w:bCs/>
          <w:sz w:val="20"/>
          <w:szCs w:val="20"/>
        </w:rPr>
        <w:t xml:space="preserve">3.6. Processed in a secure manner </w:t>
      </w:r>
    </w:p>
    <w:p w14:paraId="17C6DD65" w14:textId="399CA6F3" w:rsidR="00CE57C9" w:rsidRDefault="00CE57C9" w:rsidP="00CE57C9">
      <w:pPr>
        <w:rPr>
          <w:rFonts w:ascii="Ebrima" w:hAnsi="Ebrima" w:cstheme="majorHAnsi"/>
          <w:sz w:val="20"/>
          <w:szCs w:val="20"/>
        </w:rPr>
      </w:pPr>
      <w:r w:rsidRPr="00CE57C9">
        <w:rPr>
          <w:rFonts w:ascii="Ebrima" w:hAnsi="Ebrima" w:cstheme="majorHAnsi"/>
          <w:sz w:val="20"/>
          <w:szCs w:val="20"/>
        </w:rPr>
        <w:t xml:space="preserve">Data security is of great importance to </w:t>
      </w:r>
      <w:r w:rsidRPr="00CE57C9">
        <w:rPr>
          <w:rFonts w:ascii="Ebrima" w:hAnsi="Ebrima" w:cstheme="majorHAnsi"/>
          <w:sz w:val="20"/>
          <w:szCs w:val="20"/>
        </w:rPr>
        <w:t>Bourton on the Water Primary Academy</w:t>
      </w:r>
      <w:r w:rsidRPr="00CE57C9">
        <w:rPr>
          <w:rFonts w:ascii="Ebrima" w:hAnsi="Ebrima" w:cstheme="majorHAnsi"/>
          <w:sz w:val="20"/>
          <w:szCs w:val="20"/>
        </w:rPr>
        <w:t xml:space="preserve"> </w:t>
      </w:r>
      <w:r w:rsidRPr="0051292C">
        <w:rPr>
          <w:rFonts w:ascii="Ebrima" w:hAnsi="Ebrima" w:cstheme="majorHAnsi"/>
          <w:sz w:val="20"/>
          <w:szCs w:val="20"/>
        </w:rPr>
        <w:t xml:space="preserve">and to protect your data we have put in place suitable physical, electronic and managerial procedures to safeguard and secure the data. </w:t>
      </w:r>
    </w:p>
    <w:p w14:paraId="5231ED91" w14:textId="77777777" w:rsidR="00587CE6" w:rsidRDefault="00587CE6"/>
    <w:sectPr w:rsidR="00587C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C5ECB"/>
    <w:multiLevelType w:val="hybridMultilevel"/>
    <w:tmpl w:val="A93C183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57C02961"/>
    <w:multiLevelType w:val="multilevel"/>
    <w:tmpl w:val="7332E6BC"/>
    <w:lvl w:ilvl="0">
      <w:start w:val="1"/>
      <w:numFmt w:val="bullet"/>
      <w:lvlText w:val=""/>
      <w:lvlJc w:val="left"/>
      <w:pPr>
        <w:ind w:left="780" w:hanging="360"/>
      </w:pPr>
      <w:rPr>
        <w:rFonts w:ascii="Symbol" w:hAnsi="Symbol" w:hint="default"/>
        <w:color w:val="FFC000"/>
        <w:sz w:val="20"/>
      </w:rPr>
    </w:lvl>
    <w:lvl w:ilvl="1" w:tentative="1">
      <w:start w:val="1"/>
      <w:numFmt w:val="bullet"/>
      <w:lvlText w:val="o"/>
      <w:lvlJc w:val="left"/>
      <w:pPr>
        <w:tabs>
          <w:tab w:val="num" w:pos="1500"/>
        </w:tabs>
        <w:ind w:left="1500" w:hanging="360"/>
      </w:pPr>
      <w:rPr>
        <w:rFonts w:ascii="Courier New" w:hAnsi="Courier New" w:hint="default"/>
        <w:sz w:val="20"/>
      </w:rPr>
    </w:lvl>
    <w:lvl w:ilvl="2" w:tentative="1">
      <w:start w:val="1"/>
      <w:numFmt w:val="bullet"/>
      <w:lvlText w:val=""/>
      <w:lvlJc w:val="left"/>
      <w:pPr>
        <w:tabs>
          <w:tab w:val="num" w:pos="2220"/>
        </w:tabs>
        <w:ind w:left="2220" w:hanging="360"/>
      </w:pPr>
      <w:rPr>
        <w:rFonts w:ascii="Wingdings" w:hAnsi="Wingdings" w:hint="default"/>
        <w:sz w:val="20"/>
      </w:rPr>
    </w:lvl>
    <w:lvl w:ilvl="3" w:tentative="1">
      <w:start w:val="1"/>
      <w:numFmt w:val="bullet"/>
      <w:lvlText w:val=""/>
      <w:lvlJc w:val="left"/>
      <w:pPr>
        <w:tabs>
          <w:tab w:val="num" w:pos="2940"/>
        </w:tabs>
        <w:ind w:left="2940" w:hanging="360"/>
      </w:pPr>
      <w:rPr>
        <w:rFonts w:ascii="Wingdings" w:hAnsi="Wingdings" w:hint="default"/>
        <w:sz w:val="20"/>
      </w:rPr>
    </w:lvl>
    <w:lvl w:ilvl="4" w:tentative="1">
      <w:start w:val="1"/>
      <w:numFmt w:val="bullet"/>
      <w:lvlText w:val=""/>
      <w:lvlJc w:val="left"/>
      <w:pPr>
        <w:tabs>
          <w:tab w:val="num" w:pos="3660"/>
        </w:tabs>
        <w:ind w:left="3660" w:hanging="360"/>
      </w:pPr>
      <w:rPr>
        <w:rFonts w:ascii="Wingdings" w:hAnsi="Wingdings" w:hint="default"/>
        <w:sz w:val="20"/>
      </w:rPr>
    </w:lvl>
    <w:lvl w:ilvl="5" w:tentative="1">
      <w:start w:val="1"/>
      <w:numFmt w:val="bullet"/>
      <w:lvlText w:val=""/>
      <w:lvlJc w:val="left"/>
      <w:pPr>
        <w:tabs>
          <w:tab w:val="num" w:pos="4380"/>
        </w:tabs>
        <w:ind w:left="4380" w:hanging="360"/>
      </w:pPr>
      <w:rPr>
        <w:rFonts w:ascii="Wingdings" w:hAnsi="Wingdings" w:hint="default"/>
        <w:sz w:val="20"/>
      </w:rPr>
    </w:lvl>
    <w:lvl w:ilvl="6" w:tentative="1">
      <w:start w:val="1"/>
      <w:numFmt w:val="bullet"/>
      <w:lvlText w:val=""/>
      <w:lvlJc w:val="left"/>
      <w:pPr>
        <w:tabs>
          <w:tab w:val="num" w:pos="5100"/>
        </w:tabs>
        <w:ind w:left="5100" w:hanging="360"/>
      </w:pPr>
      <w:rPr>
        <w:rFonts w:ascii="Wingdings" w:hAnsi="Wingdings" w:hint="default"/>
        <w:sz w:val="20"/>
      </w:rPr>
    </w:lvl>
    <w:lvl w:ilvl="7" w:tentative="1">
      <w:start w:val="1"/>
      <w:numFmt w:val="bullet"/>
      <w:lvlText w:val=""/>
      <w:lvlJc w:val="left"/>
      <w:pPr>
        <w:tabs>
          <w:tab w:val="num" w:pos="5820"/>
        </w:tabs>
        <w:ind w:left="5820" w:hanging="360"/>
      </w:pPr>
      <w:rPr>
        <w:rFonts w:ascii="Wingdings" w:hAnsi="Wingdings" w:hint="default"/>
        <w:sz w:val="20"/>
      </w:rPr>
    </w:lvl>
    <w:lvl w:ilvl="8" w:tentative="1">
      <w:start w:val="1"/>
      <w:numFmt w:val="bullet"/>
      <w:lvlText w:val=""/>
      <w:lvlJc w:val="left"/>
      <w:pPr>
        <w:tabs>
          <w:tab w:val="num" w:pos="6540"/>
        </w:tabs>
        <w:ind w:left="654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C9"/>
    <w:rsid w:val="00587CE6"/>
    <w:rsid w:val="00CE5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3B7"/>
  <w15:chartTrackingRefBased/>
  <w15:docId w15:val="{5DD9E521-3436-44E8-AF3F-B721B4FCA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E57C9"/>
    <w:pPr>
      <w:spacing w:after="120" w:line="240" w:lineRule="auto"/>
    </w:pPr>
    <w:rPr>
      <w:rFonts w:ascii="Calibri" w:eastAsia="Times New Roman" w:hAnsi="Calibr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aliases w:val="Hyperlink DPO"/>
    <w:basedOn w:val="DefaultParagraphFont"/>
    <w:uiPriority w:val="99"/>
    <w:qFormat/>
    <w:rsid w:val="00CE57C9"/>
    <w:rPr>
      <w:b/>
      <w:color w:val="FEC707"/>
      <w:u w:val="none"/>
    </w:rPr>
  </w:style>
  <w:style w:type="paragraph" w:styleId="ListParagraph">
    <w:name w:val="List Paragraph"/>
    <w:basedOn w:val="Normal"/>
    <w:uiPriority w:val="39"/>
    <w:qFormat/>
    <w:rsid w:val="00CE57C9"/>
    <w:pPr>
      <w:spacing w:after="200" w:line="276" w:lineRule="auto"/>
      <w:ind w:left="720"/>
      <w:contextualSpacing/>
    </w:pPr>
    <w:rPr>
      <w:rFonts w:eastAsia="Calibri"/>
      <w:szCs w:val="22"/>
    </w:rPr>
  </w:style>
  <w:style w:type="table" w:styleId="TableGrid">
    <w:name w:val="Table Grid"/>
    <w:basedOn w:val="TableNormal"/>
    <w:uiPriority w:val="59"/>
    <w:rsid w:val="00CE57C9"/>
    <w:pPr>
      <w:spacing w:after="0" w:line="240" w:lineRule="auto"/>
    </w:pPr>
    <w:rPr>
      <w:rFonts w:ascii="Times New Roman" w:eastAsia="Times New Roman" w:hAnsi="Times New Roman" w:cs="Times New Roman"/>
      <w:sz w:val="24"/>
      <w:szCs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1087</Words>
  <Characters>6201</Characters>
  <Application>Microsoft Office Word</Application>
  <DocSecurity>0</DocSecurity>
  <Lines>51</Lines>
  <Paragraphs>14</Paragraphs>
  <ScaleCrop>false</ScaleCrop>
  <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Headteachers</dc:creator>
  <cp:keywords/>
  <dc:description/>
  <cp:lastModifiedBy>Co Headteachers</cp:lastModifiedBy>
  <cp:revision>1</cp:revision>
  <dcterms:created xsi:type="dcterms:W3CDTF">2024-03-01T10:28:00Z</dcterms:created>
  <dcterms:modified xsi:type="dcterms:W3CDTF">2024-03-01T10:36:00Z</dcterms:modified>
</cp:coreProperties>
</file>